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</w:pPr>
      <w:r>
        <w:rPr>
          <w:rFonts w:ascii="Calibri" w:cs="Calibri" w:eastAsia="Calibri" w:hAnsi="Calibri"/>
          <w:b/>
          <w:bCs/>
          <w:color w:val="2D2DB8"/>
          <w:spacing w:val="20"/>
          <w:sz w:val="18"/>
          <w:szCs w:val="18"/>
        </w:rPr>
        <w:t xml:space="preserve">PUBLISHER RESOURCE · FAQ</w:t>
      </w:r>
    </w:p>
    <w:p>
      <w:pPr>
        <w:spacing w:after="160"/>
      </w:pPr>
      <w:r>
        <w:rPr>
          <w:rFonts w:ascii="Calibri" w:cs="Calibri" w:eastAsia="Calibri" w:hAnsi="Calibri"/>
          <w:b/>
          <w:bCs/>
          <w:color w:val="0D1137"/>
          <w:sz w:val="56"/>
          <w:szCs w:val="56"/>
        </w:rPr>
        <w:t xml:space="preserve">Fluent Publisher FAQ Guide</w:t>
      </w:r>
    </w:p>
    <w:p>
      <w:pPr>
        <w:spacing w:after="28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Answers to the most common setup questions for Fluent tracking, prepop, Everflow postback macros, and offer naming conventions.</w:t>
      </w:r>
    </w:p>
    <w:p>
      <w:pPr>
        <w:pBdr>
          <w:bottom w:val="single" w:color="E2E2E2" w:sz="6" w:space="6"/>
        </w:pBdr>
        <w:spacing w:after="200" w:before="420"/>
      </w:pPr>
      <w:r>
        <w:rPr>
          <w:rFonts w:ascii="Calibri" w:cs="Calibri" w:eastAsia="Calibri" w:hAnsi="Calibri"/>
          <w:b/>
          <w:bCs/>
          <w:color w:val="2D2DB8"/>
          <w:sz w:val="36"/>
          <w:szCs w:val="36"/>
        </w:rPr>
        <w:t xml:space="preserve">1. Prepop Instructions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Q: </w:t>
      </w: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How do I pass prepop data into a Fluent offer link?</w:t>
      </w:r>
    </w:p>
    <w:p>
      <w:pPr>
        <w:spacing w:after="160"/>
        <w:ind w:left="2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Append the fields below as macros on your tracking link so the landing page can pre-populate the user's information and carry your tracking IDs through. Example string:</w:t>
      </w:r>
    </w:p>
    <w:tbl>
      <w:tblPr>
        <w:tblW w:type="pct" w:w="100%"/>
        <w:tblBorders>
          <w:top w:val="single" w:color="2D2DB8" w:sz="4"/>
          <w:left w:val="single" w:color="2D2DB8" w:sz="24"/>
          <w:bottom w:val="single" w:color="2D2DB8" w:sz="4"/>
          <w:right w:val="single" w:color="2D2DB8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0F8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0D1137"/>
                <w:sz w:val="18"/>
                <w:szCs w:val="18"/>
              </w:rPr>
              <w:t xml:space="preserve">dobyear={dobyear}&amp;firstname={firstname}&amp;zippost={zippost}&amp;gender={gender}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0D1137"/>
                <w:sz w:val="18"/>
                <w:szCs w:val="18"/>
              </w:rPr>
              <w:t xml:space="preserve">&amp;sub2={click_id}&amp;address2={address2}&amp;city={city}&amp;address1={address1}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0D1137"/>
                <w:sz w:val="18"/>
                <w:szCs w:val="18"/>
              </w:rPr>
              <w:t xml:space="preserve">&amp;sub1={pass_source}&amp;phonecode={phonecode}&amp;dobday={dobday}&amp;lastname={lastname}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0D1137"/>
                <w:sz w:val="18"/>
                <w:szCs w:val="18"/>
              </w:rPr>
              <w:t xml:space="preserve">&amp;dobmonth={dobmonth}&amp;phoneprefix={phoneprefix}&amp;phonesuffix={phonesuffix}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0D1137"/>
                <w:sz w:val="18"/>
                <w:szCs w:val="18"/>
              </w:rPr>
              <w:t xml:space="preserve">&amp;state={state}&amp;email={email}</w:t>
            </w:r>
          </w:p>
        </w:tc>
      </w:tr>
    </w:tbl>
    <w:p>
      <w:pPr>
        <w:spacing w:after="160"/>
      </w:pP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Q: </w:t>
      </w: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Is there an alternate field for phone number?</w:t>
      </w:r>
    </w:p>
    <w:p>
      <w:pPr>
        <w:spacing w:after="160"/>
        <w:ind w:left="2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Yes — &amp;telephone={telephone} also works as a single full-number field if you'd rather not break the number out into phonecode / phoneprefix / phonesuffix.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Q: </w:t>
      </w: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Which fields are supported?</w:t>
      </w:r>
    </w:p>
    <w:p>
      <w:pPr>
        <w:spacing w:after="160"/>
        <w:ind w:left="2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/>
      </w:r>
    </w:p>
    <w:tbl>
      <w:tblPr>
        <w:tblW w:type="dxa" w:w="9360"/>
        <w:tblBorders>
          <w:top w:val="single" w:color="E2E2E2" w:sz="2"/>
          <w:left w:val="single" w:color="E2E2E2" w:sz="2"/>
          <w:bottom w:val="single" w:color="E2E2E2" w:sz="2"/>
          <w:right w:val="single" w:color="E2E2E2" w:sz="2"/>
          <w:insideH w:val="single" w:color="E2E2E2" w:sz="2"/>
          <w:insideV w:val="single" w:color="E2E2E2" w:sz="2"/>
        </w:tblBorders>
      </w:tblPr>
      <w:tblGrid>
        <w:gridCol w:w="3800"/>
        <w:gridCol w:w="5560"/>
      </w:tblGrid>
      <w:tr>
        <w:trPr>
          <w:tblHeader/>
        </w:trPr>
        <w:tc>
          <w:tcPr>
            <w:tcW w:type="dxa" w:w="3800"/>
            <w:shd w:fill="0D1137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Field</w:t>
            </w:r>
          </w:p>
        </w:tc>
        <w:tc>
          <w:tcPr>
            <w:tcW w:type="dxa" w:w="5560"/>
            <w:shd w:fill="0D1137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Macro</w:t>
            </w:r>
          </w:p>
        </w:tc>
      </w:tr>
      <w:tr>
        <w:tc>
          <w:tcPr>
            <w:tcW w:type="dxa" w:w="3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email</w:t>
            </w:r>
          </w:p>
        </w:tc>
        <w:tc>
          <w:tcPr>
            <w:tcW w:type="dxa" w:w="55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{email}</w:t>
            </w:r>
          </w:p>
        </w:tc>
      </w:tr>
      <w:tr>
        <w:tc>
          <w:tcPr>
            <w:tcW w:type="dxa" w:w="3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firstname</w:t>
            </w:r>
          </w:p>
        </w:tc>
        <w:tc>
          <w:tcPr>
            <w:tcW w:type="dxa" w:w="55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{firstname}</w:t>
            </w:r>
          </w:p>
        </w:tc>
      </w:tr>
      <w:tr>
        <w:tc>
          <w:tcPr>
            <w:tcW w:type="dxa" w:w="3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lastname</w:t>
            </w:r>
          </w:p>
        </w:tc>
        <w:tc>
          <w:tcPr>
            <w:tcW w:type="dxa" w:w="55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{lastname}</w:t>
            </w:r>
          </w:p>
        </w:tc>
      </w:tr>
      <w:tr>
        <w:tc>
          <w:tcPr>
            <w:tcW w:type="dxa" w:w="3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gender</w:t>
            </w:r>
          </w:p>
        </w:tc>
        <w:tc>
          <w:tcPr>
            <w:tcW w:type="dxa" w:w="55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{gender}</w:t>
            </w:r>
          </w:p>
        </w:tc>
      </w:tr>
      <w:tr>
        <w:tc>
          <w:tcPr>
            <w:tcW w:type="dxa" w:w="3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dobmonth / dobday / dobyear</w:t>
            </w:r>
          </w:p>
        </w:tc>
        <w:tc>
          <w:tcPr>
            <w:tcW w:type="dxa" w:w="55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{dobmonth} / {dobday} / {dobyear}</w:t>
            </w:r>
          </w:p>
        </w:tc>
      </w:tr>
      <w:tr>
        <w:tc>
          <w:tcPr>
            <w:tcW w:type="dxa" w:w="3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phonecode / phoneprefix / phonesuffix</w:t>
            </w:r>
          </w:p>
        </w:tc>
        <w:tc>
          <w:tcPr>
            <w:tcW w:type="dxa" w:w="55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{phonecode} / {phoneprefix} / {phonesuffix}</w:t>
            </w:r>
          </w:p>
        </w:tc>
      </w:tr>
      <w:tr>
        <w:tc>
          <w:tcPr>
            <w:tcW w:type="dxa" w:w="3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telephone (alternate to the three phone fields above)</w:t>
            </w:r>
          </w:p>
        </w:tc>
        <w:tc>
          <w:tcPr>
            <w:tcW w:type="dxa" w:w="55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{telephone}</w:t>
            </w:r>
          </w:p>
        </w:tc>
      </w:tr>
      <w:tr>
        <w:tc>
          <w:tcPr>
            <w:tcW w:type="dxa" w:w="3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address1</w:t>
            </w:r>
          </w:p>
        </w:tc>
        <w:tc>
          <w:tcPr>
            <w:tcW w:type="dxa" w:w="55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{address1}</w:t>
            </w:r>
          </w:p>
        </w:tc>
      </w:tr>
      <w:tr>
        <w:tc>
          <w:tcPr>
            <w:tcW w:type="dxa" w:w="3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address2</w:t>
            </w:r>
          </w:p>
        </w:tc>
        <w:tc>
          <w:tcPr>
            <w:tcW w:type="dxa" w:w="55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{address2}</w:t>
            </w:r>
          </w:p>
        </w:tc>
      </w:tr>
      <w:tr>
        <w:tc>
          <w:tcPr>
            <w:tcW w:type="dxa" w:w="3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city</w:t>
            </w:r>
          </w:p>
        </w:tc>
        <w:tc>
          <w:tcPr>
            <w:tcW w:type="dxa" w:w="55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{city}</w:t>
            </w:r>
          </w:p>
        </w:tc>
      </w:tr>
      <w:tr>
        <w:tc>
          <w:tcPr>
            <w:tcW w:type="dxa" w:w="3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state</w:t>
            </w:r>
          </w:p>
        </w:tc>
        <w:tc>
          <w:tcPr>
            <w:tcW w:type="dxa" w:w="55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{state}</w:t>
            </w:r>
          </w:p>
        </w:tc>
      </w:tr>
      <w:tr>
        <w:tc>
          <w:tcPr>
            <w:tcW w:type="dxa" w:w="3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zippost</w:t>
            </w:r>
          </w:p>
        </w:tc>
        <w:tc>
          <w:tcPr>
            <w:tcW w:type="dxa" w:w="55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{zippost}</w:t>
            </w:r>
          </w:p>
        </w:tc>
      </w:tr>
      <w:tr>
        <w:tc>
          <w:tcPr>
            <w:tcW w:type="dxa" w:w="3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sub1 (pass source tracking)</w:t>
            </w:r>
          </w:p>
        </w:tc>
        <w:tc>
          <w:tcPr>
            <w:tcW w:type="dxa" w:w="55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{pass_source}</w:t>
            </w:r>
          </w:p>
        </w:tc>
      </w:tr>
      <w:tr>
        <w:tc>
          <w:tcPr>
            <w:tcW w:type="dxa" w:w="3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sub2 (click ID tracking)</w:t>
            </w:r>
          </w:p>
        </w:tc>
        <w:tc>
          <w:tcPr>
            <w:tcW w:type="dxa" w:w="55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{click_id}</w:t>
            </w:r>
          </w:p>
        </w:tc>
      </w:tr>
    </w:tbl>
    <w:p>
      <w:pPr>
        <w:spacing w:after="100"/>
      </w:pPr>
    </w:p>
    <w:p>
      <w:pPr>
        <w:spacing w:after="160"/>
        <w:ind w:left="2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sub1 and sub2 carry your pass_source and click_id tracking macros through to the landing page alongside the prepop fields above — include them any time you need that tracking data to persist downstream.</w:t>
      </w:r>
    </w:p>
    <w:p>
      <w:pPr>
        <w:pBdr>
          <w:bottom w:val="single" w:color="E2E2E2" w:sz="6" w:space="6"/>
        </w:pBdr>
        <w:spacing w:after="200" w:before="420"/>
      </w:pPr>
      <w:r>
        <w:rPr>
          <w:rFonts w:ascii="Calibri" w:cs="Calibri" w:eastAsia="Calibri" w:hAnsi="Calibri"/>
          <w:b/>
          <w:bCs/>
          <w:color w:val="2D2DB8"/>
          <w:sz w:val="36"/>
          <w:szCs w:val="36"/>
        </w:rPr>
        <w:t xml:space="preserve">2. Everflow Postback Parameters</w:t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6E6E6E"/>
          <w:sz w:val="19"/>
          <w:szCs w:val="19"/>
        </w:rPr>
        <w:t xml:space="preserve">Source: Everflow Helpdesk, “Your Guide to Parameters &amp; Macros,” last updated May 18, 2026. Verify against the live article periodically, since Everflow updates macro availability over time.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Q: </w:t>
      </w: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What's the difference between a parameter and a macro?</w:t>
      </w:r>
    </w:p>
    <w:p>
      <w:pPr>
        <w:spacing w:after="160"/>
        <w:ind w:left="2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A parameter is the container in a URL — the part to the left of the equals sign (e.g. click_id=). A macro is the curly-bracket placeholder Everflow substitutes with the real value at send time (e.g. {transaction_id}). Parameter always goes on the left, macro on the right.</w:t>
      </w:r>
    </w:p>
    <w:tbl>
      <w:tblPr>
        <w:tblW w:type="pct" w:w="100%"/>
        <w:tblBorders>
          <w:top w:val="single" w:color="2D2DB8" w:sz="4"/>
          <w:left w:val="single" w:color="2D2DB8" w:sz="24"/>
          <w:bottom w:val="single" w:color="2D2DB8" w:sz="4"/>
          <w:right w:val="single" w:color="2D2DB8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0F8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A7A6E"/>
                <w:sz w:val="20"/>
                <w:szCs w:val="20"/>
              </w:rPr>
              <w:t xml:space="preserve">Correct:   </w:t>
            </w:r>
            <w:r>
              <w:rPr>
                <w:rFonts w:ascii="Consolas" w:cs="Consolas" w:eastAsia="Consolas" w:hAnsi="Consolas"/>
                <w:color w:val="0D1137"/>
                <w:sz w:val="20"/>
                <w:szCs w:val="20"/>
              </w:rPr>
              <w:t xml:space="preserve">click_id={transaction_id}</w:t>
            </w:r>
          </w:p>
          <w:p>
            <w:r>
              <w:rPr>
                <w:rFonts w:ascii="Calibri" w:cs="Calibri" w:eastAsia="Calibri" w:hAnsi="Calibri"/>
                <w:b/>
                <w:bCs/>
                <w:color w:val="E83278"/>
                <w:sz w:val="20"/>
                <w:szCs w:val="20"/>
              </w:rPr>
              <w:t xml:space="preserve">Backwards: </w:t>
            </w:r>
            <w:r>
              <w:rPr>
                <w:rFonts w:ascii="Consolas" w:cs="Consolas" w:eastAsia="Consolas" w:hAnsi="Consolas"/>
                <w:color w:val="0D1137"/>
                <w:sz w:val="20"/>
                <w:szCs w:val="20"/>
              </w:rPr>
              <w:t xml:space="preserve">{transaction_id}=click_id</w:t>
            </w:r>
            <w:r>
              <w:rPr>
                <w:rFonts w:ascii="Calibri" w:cs="Calibri" w:eastAsia="Calibri" w:hAnsi="Calibri"/>
                <w:color w:val="4A4A4A"/>
                <w:sz w:val="20"/>
                <w:szCs w:val="20"/>
              </w:rPr>
              <w:t xml:space="preserve">  — this is the #1 setup mistake.</w:t>
            </w:r>
          </w:p>
        </w:tc>
      </w:tr>
    </w:tbl>
    <w:p>
      <w:pPr>
        <w:spacing w:after="160"/>
      </w:pP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Q: </w:t>
      </w: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Where can each macro be used? (surface key)</w:t>
      </w:r>
    </w:p>
    <w:p>
      <w:pPr>
        <w:spacing w:after="160"/>
        <w:ind w:left="2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/>
      </w:r>
    </w:p>
    <w:tbl>
      <w:tblPr>
        <w:tblW w:type="dxa" w:w="9360"/>
        <w:tblBorders>
          <w:top w:val="single" w:color="E2E2E2" w:sz="2"/>
          <w:left w:val="single" w:color="E2E2E2" w:sz="2"/>
          <w:bottom w:val="single" w:color="E2E2E2" w:sz="2"/>
          <w:right w:val="single" w:color="E2E2E2" w:sz="2"/>
          <w:insideH w:val="single" w:color="E2E2E2" w:sz="2"/>
          <w:insideV w:val="single" w:color="E2E2E2" w:sz="2"/>
        </w:tblBorders>
      </w:tblPr>
      <w:tblGrid>
        <w:gridCol w:w="1800"/>
        <w:gridCol w:w="7560"/>
      </w:tblGrid>
      <w:tr>
        <w:trPr>
          <w:tblHeader/>
        </w:trPr>
        <w:tc>
          <w:tcPr>
            <w:tcW w:type="dxa" w:w="1800"/>
            <w:shd w:fill="0D1137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Code</w:t>
            </w:r>
          </w:p>
        </w:tc>
        <w:tc>
          <w:tcPr>
            <w:tcW w:type="dxa" w:w="7560"/>
            <w:shd w:fill="0D1137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Surface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DLP</w:t>
            </w:r>
          </w:p>
        </w:tc>
        <w:tc>
          <w:tcPr>
            <w:tcW w:type="dxa" w:w="75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Default Landing Page</w:t>
            </w:r>
          </w:p>
        </w:tc>
      </w:tr>
      <w:tr>
        <w:tc>
          <w:tcPr>
            <w:tcW w:type="dxa" w:w="1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PTL</w:t>
            </w:r>
          </w:p>
        </w:tc>
        <w:tc>
          <w:tcPr>
            <w:tcW w:type="dxa" w:w="75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Partner Tracking Link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AP</w:t>
            </w:r>
          </w:p>
        </w:tc>
        <w:tc>
          <w:tcPr>
            <w:tcW w:type="dxa" w:w="75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Advertiser Postback (advertiser's server → Everflow)</w:t>
            </w:r>
          </w:p>
        </w:tc>
      </w:tr>
      <w:tr>
        <w:tc>
          <w:tcPr>
            <w:tcW w:type="dxa" w:w="1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PP</w:t>
            </w:r>
          </w:p>
        </w:tc>
        <w:tc>
          <w:tcPr>
            <w:tcW w:type="dxa" w:w="75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Partner Postback (Everflow → partner/affiliate)</w:t>
            </w:r>
          </w:p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Q: </w:t>
      </w: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Which macros do I need for a standard postback?</w:t>
      </w:r>
    </w:p>
    <w:p>
      <w:pPr>
        <w:spacing w:after="160"/>
        <w:ind w:left="2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/>
      </w:r>
    </w:p>
    <w:tbl>
      <w:tblPr>
        <w:tblW w:type="dxa" w:w="9360"/>
        <w:tblBorders>
          <w:top w:val="single" w:color="E2E2E2" w:sz="2"/>
          <w:left w:val="single" w:color="E2E2E2" w:sz="2"/>
          <w:bottom w:val="single" w:color="E2E2E2" w:sz="2"/>
          <w:right w:val="single" w:color="E2E2E2" w:sz="2"/>
          <w:insideH w:val="single" w:color="E2E2E2" w:sz="2"/>
          <w:insideV w:val="single" w:color="E2E2E2" w:sz="2"/>
        </w:tblBorders>
      </w:tblPr>
      <w:tblGrid>
        <w:gridCol w:w="2800"/>
        <w:gridCol w:w="3200"/>
        <w:gridCol w:w="3360"/>
      </w:tblGrid>
      <w:tr>
        <w:trPr>
          <w:tblHeader/>
        </w:trPr>
        <w:tc>
          <w:tcPr>
            <w:tcW w:type="dxa" w:w="2800"/>
            <w:shd w:fill="0D1137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Parameter</w:t>
            </w:r>
          </w:p>
        </w:tc>
        <w:tc>
          <w:tcPr>
            <w:tcW w:type="dxa" w:w="3200"/>
            <w:shd w:fill="0D1137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Macro</w:t>
            </w:r>
          </w:p>
        </w:tc>
        <w:tc>
          <w:tcPr>
            <w:tcW w:type="dxa" w:w="3360"/>
            <w:shd w:fill="0D1137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Use in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transaction_id</w:t>
            </w:r>
          </w:p>
        </w:tc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{transaction_id}</w:t>
            </w:r>
          </w:p>
        </w:tc>
        <w:tc>
          <w:tcPr>
            <w:tcW w:type="dxa" w:w="33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DLP, PP</w:t>
            </w:r>
          </w:p>
        </w:tc>
      </w:tr>
      <w:tr>
        <w:tc>
          <w:tcPr>
            <w:tcW w:type="dxa" w:w="2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sub1–sub10</w:t>
            </w:r>
          </w:p>
        </w:tc>
        <w:tc>
          <w:tcPr>
            <w:tcW w:type="dxa" w:w="32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{sub1} … {sub10}</w:t>
            </w:r>
          </w:p>
        </w:tc>
        <w:tc>
          <w:tcPr>
            <w:tcW w:type="dxa" w:w="33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PTL, PP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affiliate_id</w:t>
            </w:r>
          </w:p>
        </w:tc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{affiliate_id}</w:t>
            </w:r>
          </w:p>
        </w:tc>
        <w:tc>
          <w:tcPr>
            <w:tcW w:type="dxa" w:w="33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DLP, PP</w:t>
            </w:r>
          </w:p>
        </w:tc>
      </w:tr>
      <w:tr>
        <w:tc>
          <w:tcPr>
            <w:tcW w:type="dxa" w:w="2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offer_id</w:t>
            </w:r>
          </w:p>
        </w:tc>
        <w:tc>
          <w:tcPr>
            <w:tcW w:type="dxa" w:w="32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{offer_id}</w:t>
            </w:r>
          </w:p>
        </w:tc>
        <w:tc>
          <w:tcPr>
            <w:tcW w:type="dxa" w:w="33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DLP, PP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offer_name</w:t>
            </w:r>
          </w:p>
        </w:tc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{offer_name}</w:t>
            </w:r>
          </w:p>
        </w:tc>
        <w:tc>
          <w:tcPr>
            <w:tcW w:type="dxa" w:w="33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DLP, PP</w:t>
            </w:r>
          </w:p>
        </w:tc>
      </w:tr>
      <w:tr>
        <w:tc>
          <w:tcPr>
            <w:tcW w:type="dxa" w:w="2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event_id</w:t>
            </w:r>
          </w:p>
        </w:tc>
        <w:tc>
          <w:tcPr>
            <w:tcW w:type="dxa" w:w="32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{event_id}</w:t>
            </w:r>
          </w:p>
        </w:tc>
        <w:tc>
          <w:tcPr>
            <w:tcW w:type="dxa" w:w="33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PP, AP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adv_event_id</w:t>
            </w:r>
          </w:p>
        </w:tc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{adv_event_id}</w:t>
            </w:r>
          </w:p>
        </w:tc>
        <w:tc>
          <w:tcPr>
            <w:tcW w:type="dxa" w:w="33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AP only</w:t>
            </w:r>
          </w:p>
        </w:tc>
      </w:tr>
      <w:tr>
        <w:tc>
          <w:tcPr>
            <w:tcW w:type="dxa" w:w="2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amount</w:t>
            </w:r>
          </w:p>
        </w:tc>
        <w:tc>
          <w:tcPr>
            <w:tcW w:type="dxa" w:w="32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{amount}</w:t>
            </w:r>
          </w:p>
        </w:tc>
        <w:tc>
          <w:tcPr>
            <w:tcW w:type="dxa" w:w="33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AP only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sale_amount</w:t>
            </w:r>
          </w:p>
        </w:tc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{sale_amount}</w:t>
            </w:r>
          </w:p>
        </w:tc>
        <w:tc>
          <w:tcPr>
            <w:tcW w:type="dxa" w:w="33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PP</w:t>
            </w:r>
          </w:p>
        </w:tc>
      </w:tr>
      <w:tr>
        <w:tc>
          <w:tcPr>
            <w:tcW w:type="dxa" w:w="2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payout_amount</w:t>
            </w:r>
          </w:p>
        </w:tc>
        <w:tc>
          <w:tcPr>
            <w:tcW w:type="dxa" w:w="32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{payout_amount}</w:t>
            </w:r>
          </w:p>
        </w:tc>
        <w:tc>
          <w:tcPr>
            <w:tcW w:type="dxa" w:w="33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PP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currency</w:t>
            </w:r>
          </w:p>
        </w:tc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{currency}</w:t>
            </w:r>
          </w:p>
        </w:tc>
        <w:tc>
          <w:tcPr>
            <w:tcW w:type="dxa" w:w="33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AP</w:t>
            </w:r>
          </w:p>
        </w:tc>
      </w:tr>
      <w:tr>
        <w:tc>
          <w:tcPr>
            <w:tcW w:type="dxa" w:w="2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order_id</w:t>
            </w:r>
          </w:p>
        </w:tc>
        <w:tc>
          <w:tcPr>
            <w:tcW w:type="dxa" w:w="32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{order_id}</w:t>
            </w:r>
          </w:p>
        </w:tc>
        <w:tc>
          <w:tcPr>
            <w:tcW w:type="dxa" w:w="33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AP, PP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conversion_id</w:t>
            </w:r>
          </w:p>
        </w:tc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{conversion_id}</w:t>
            </w:r>
          </w:p>
        </w:tc>
        <w:tc>
          <w:tcPr>
            <w:tcW w:type="dxa" w:w="33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PP</w:t>
            </w:r>
          </w:p>
        </w:tc>
      </w:tr>
      <w:tr>
        <w:tc>
          <w:tcPr>
            <w:tcW w:type="dxa" w:w="2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source_id / affiliate_source_id</w:t>
            </w:r>
          </w:p>
        </w:tc>
        <w:tc>
          <w:tcPr>
            <w:tcW w:type="dxa" w:w="32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{source_id} / {affiliate_source_id}</w:t>
            </w:r>
          </w:p>
        </w:tc>
        <w:tc>
          <w:tcPr>
            <w:tcW w:type="dxa" w:w="33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PTL, PP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user_ip</w:t>
            </w:r>
          </w:p>
        </w:tc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{conversion_ip}</w:t>
            </w:r>
          </w:p>
        </w:tc>
        <w:tc>
          <w:tcPr>
            <w:tcW w:type="dxa" w:w="33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AP, PP</w:t>
            </w:r>
          </w:p>
        </w:tc>
      </w:tr>
      <w:tr>
        <w:tc>
          <w:tcPr>
            <w:tcW w:type="dxa" w:w="2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timestamp</w:t>
            </w:r>
          </w:p>
        </w:tc>
        <w:tc>
          <w:tcPr>
            <w:tcW w:type="dxa" w:w="32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{timestamp}</w:t>
            </w:r>
          </w:p>
        </w:tc>
        <w:tc>
          <w:tcPr>
            <w:tcW w:type="dxa" w:w="33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AP, PP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random</w:t>
            </w:r>
          </w:p>
        </w:tc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{random}</w:t>
            </w:r>
          </w:p>
        </w:tc>
        <w:tc>
          <w:tcPr>
            <w:tcW w:type="dxa" w:w="33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AP, PP</w:t>
            </w:r>
          </w:p>
        </w:tc>
      </w:tr>
    </w:tbl>
    <w:p>
      <w:pPr>
        <w:spacing w:after="100"/>
      </w:pPr>
    </w:p>
    <w:p>
      <w:pPr>
        <w:spacing w:after="200"/>
      </w:pPr>
      <w:r>
        <w:rPr>
          <w:rFonts w:ascii="Calibri" w:cs="Calibri" w:eastAsia="Calibri" w:hAnsi="Calibri"/>
          <w:b/>
          <w:bCs/>
          <w:color w:val="0D1137"/>
          <w:sz w:val="20"/>
          <w:szCs w:val="20"/>
        </w:rPr>
        <w:t xml:space="preserve">Common mix-up — amount vs. sale_amount: 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{amount} is Advertiser Postback only (the revenue value Everflow receives from the advertiser). {sale_amount} is the Partner Postback macro used to pass that revenue figure onward to a partner.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Q: </w:t>
      </w: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How do sub IDs and adv fields work?</w:t>
      </w:r>
    </w:p>
    <w:p>
      <w:pPr>
        <w:spacing w:after="160"/>
        <w:ind w:left="2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As of the May 18, 2026 update, Sub ID and Advertiser ID slots were expanded from 1–5 to 1–10. sub6–sub10 and adv6–adv10 are valid macros in Partner Tracking Links and in Partner/Advertiser Postbacks, and appear as columns/filters in standard reports. Any parameter captured at click time on the Partner Tracking Link can be returned in macro form in the Partner Postback — e.g. sub1 passed during the click can be retrieved later with {sub1}. Free-form custom parameter names (anything not in the standard table) also work as macros the same way, but won't appear in standard reporting columns.</w:t>
      </w:r>
    </w:p>
    <w:tbl>
      <w:tblPr>
        <w:tblW w:type="dxa" w:w="9360"/>
        <w:tblBorders>
          <w:top w:val="single" w:color="E2E2E2" w:sz="2"/>
          <w:left w:val="single" w:color="E2E2E2" w:sz="2"/>
          <w:bottom w:val="single" w:color="E2E2E2" w:sz="2"/>
          <w:right w:val="single" w:color="E2E2E2" w:sz="2"/>
          <w:insideH w:val="single" w:color="E2E2E2" w:sz="2"/>
          <w:insideV w:val="single" w:color="E2E2E2" w:sz="2"/>
        </w:tblBorders>
      </w:tblPr>
      <w:tblGrid>
        <w:gridCol w:w="2800"/>
        <w:gridCol w:w="3200"/>
        <w:gridCol w:w="3360"/>
      </w:tblGrid>
      <w:tr>
        <w:trPr>
          <w:tblHeader/>
        </w:trPr>
        <w:tc>
          <w:tcPr>
            <w:tcW w:type="dxa" w:w="2800"/>
            <w:shd w:fill="0D1137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Parameter</w:t>
            </w:r>
          </w:p>
        </w:tc>
        <w:tc>
          <w:tcPr>
            <w:tcW w:type="dxa" w:w="3200"/>
            <w:shd w:fill="0D1137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Macro</w:t>
            </w:r>
          </w:p>
        </w:tc>
        <w:tc>
          <w:tcPr>
            <w:tcW w:type="dxa" w:w="3360"/>
            <w:shd w:fill="0D1137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Use in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sub1–sub10</w:t>
            </w:r>
          </w:p>
        </w:tc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{sub1} … {sub10}</w:t>
            </w:r>
          </w:p>
        </w:tc>
        <w:tc>
          <w:tcPr>
            <w:tcW w:type="dxa" w:w="33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PTL, PP</w:t>
            </w:r>
          </w:p>
        </w:tc>
      </w:tr>
      <w:tr>
        <w:tc>
          <w:tcPr>
            <w:tcW w:type="dxa" w:w="2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adv1–adv10</w:t>
            </w:r>
          </w:p>
        </w:tc>
        <w:tc>
          <w:tcPr>
            <w:tcW w:type="dxa" w:w="32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{adv1} … {adv10}</w:t>
            </w:r>
          </w:p>
        </w:tc>
        <w:tc>
          <w:tcPr>
            <w:tcW w:type="dxa" w:w="33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AP, PP*</w:t>
            </w:r>
          </w:p>
        </w:tc>
      </w:tr>
    </w:tbl>
    <w:p>
      <w:pPr>
        <w:spacing w:after="100"/>
      </w:pPr>
    </w:p>
    <w:p>
      <w:pPr>
        <w:spacing w:after="160"/>
        <w:ind w:left="2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* Visibility of sale_amount and adv1–adv10 to partners is controlled globally (Control Center → Platform Configurations → Global → “Set Macro Parameter Visibility for Partners”), with a per-partner override (Partners → Manage → [partner] → “Set Macro Parameter Visibility”: None / Custom / Full Visibility). A per-partner override beats the global default.</w:t>
      </w:r>
    </w:p>
    <w:p>
      <w:pPr>
        <w:spacing w:after="160"/>
        <w:ind w:left="2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Beyond adv10: custom parameter names (e.g. adv11, customer_segment) can be passed in an Advertiser Postback and recognized by Custom Revenue &amp; Payout rules if entered manually in the Variables tab — but they will not appear in standard reporting and cannot be used as postback macros ({adv11} will not resolve).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Q: </w:t>
      </w: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How do I hash PII (email, phone, user ID) in a postback?</w:t>
      </w:r>
    </w:p>
    <w:p>
      <w:pPr>
        <w:spacing w:after="160"/>
        <w:ind w:left="2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Append a &gt;HASH suffix directly to the macro: {macro&gt;HASH}. Supported algorithms are SHA1, SHA256, and MD5. An optional LC_ prefix lowercases the value first — use this whenever the receiving platform expects case-insensitive matching (e.g. emails). Common pattern, with email in adv1 and phone in adv2:</w:t>
      </w:r>
    </w:p>
    <w:tbl>
      <w:tblPr>
        <w:tblW w:type="pct" w:w="100%"/>
        <w:tblBorders>
          <w:top w:val="single" w:color="2D2DB8" w:sz="4"/>
          <w:left w:val="single" w:color="2D2DB8" w:sz="24"/>
          <w:bottom w:val="single" w:color="2D2DB8" w:sz="4"/>
          <w:right w:val="single" w:color="2D2DB8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0F8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color w:val="0D1137"/>
                <w:sz w:val="18"/>
                <w:szCs w:val="18"/>
              </w:rPr>
              <w:t xml:space="preserve">{adv1&gt;LC_SHA256}&amp;ph={adv2&gt;LC_SHA256}</w:t>
            </w:r>
          </w:p>
        </w:tc>
      </w:tr>
    </w:tbl>
    <w:p>
      <w:pPr>
        <w:spacing w:after="100"/>
      </w:pPr>
    </w:p>
    <w:p>
      <w:pPr>
        <w:spacing w:after="200"/>
      </w:pPr>
      <w:r>
        <w:rPr>
          <w:rFonts w:ascii="Calibri" w:cs="Calibri" w:eastAsia="Calibri" w:hAnsi="Calibri"/>
          <w:b/>
          <w:bCs/>
          <w:color w:val="0D1137"/>
          <w:sz w:val="20"/>
          <w:szCs w:val="20"/>
        </w:rPr>
        <w:t xml:space="preserve">Exception — Meta CAPI: </w:t>
      </w:r>
      <w:r>
        <w:rPr>
          <w:rFonts w:ascii="Calibri" w:cs="Calibri" w:eastAsia="Calibri" w:hAnsi="Calibri"/>
          <w:color w:val="4A4A4A"/>
          <w:sz w:val="20"/>
          <w:szCs w:val="20"/>
        </w:rPr>
        <w:t xml:space="preserve">if sending through Meta's Conversions API postback, do not add hashing macros manually — Everflow auto-hashes all macro values in the CAPI payload before it leaves Everflow's servers.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Q: </w:t>
      </w: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What device and geo macros are available?</w:t>
      </w:r>
    </w:p>
    <w:p>
      <w:pPr>
        <w:spacing w:after="160"/>
        <w:ind w:left="2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/>
      </w:r>
    </w:p>
    <w:tbl>
      <w:tblPr>
        <w:tblW w:type="dxa" w:w="9360"/>
        <w:tblBorders>
          <w:top w:val="single" w:color="E2E2E2" w:sz="2"/>
          <w:left w:val="single" w:color="E2E2E2" w:sz="2"/>
          <w:bottom w:val="single" w:color="E2E2E2" w:sz="2"/>
          <w:right w:val="single" w:color="E2E2E2" w:sz="2"/>
          <w:insideH w:val="single" w:color="E2E2E2" w:sz="2"/>
          <w:insideV w:val="single" w:color="E2E2E2" w:sz="2"/>
        </w:tblBorders>
      </w:tblPr>
      <w:tblGrid>
        <w:gridCol w:w="2800"/>
        <w:gridCol w:w="3200"/>
        <w:gridCol w:w="3360"/>
      </w:tblGrid>
      <w:tr>
        <w:trPr>
          <w:tblHeader/>
        </w:trPr>
        <w:tc>
          <w:tcPr>
            <w:tcW w:type="dxa" w:w="2800"/>
            <w:shd w:fill="0D1137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Parameter</w:t>
            </w:r>
          </w:p>
        </w:tc>
        <w:tc>
          <w:tcPr>
            <w:tcW w:type="dxa" w:w="3200"/>
            <w:shd w:fill="0D1137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Macro</w:t>
            </w:r>
          </w:p>
        </w:tc>
        <w:tc>
          <w:tcPr>
            <w:tcW w:type="dxa" w:w="3360"/>
            <w:shd w:fill="0D1137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Use in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device_type</w:t>
            </w:r>
          </w:p>
        </w:tc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{device_type}</w:t>
            </w:r>
          </w:p>
        </w:tc>
        <w:tc>
          <w:tcPr>
            <w:tcW w:type="dxa" w:w="33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DLP, PP</w:t>
            </w:r>
          </w:p>
        </w:tc>
      </w:tr>
      <w:tr>
        <w:tc>
          <w:tcPr>
            <w:tcW w:type="dxa" w:w="2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device_platform</w:t>
            </w:r>
          </w:p>
        </w:tc>
        <w:tc>
          <w:tcPr>
            <w:tcW w:type="dxa" w:w="32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{device_platform}</w:t>
            </w:r>
          </w:p>
        </w:tc>
        <w:tc>
          <w:tcPr>
            <w:tcW w:type="dxa" w:w="33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DLP, PP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device_brand</w:t>
            </w:r>
          </w:p>
        </w:tc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{device_brand}</w:t>
            </w:r>
          </w:p>
        </w:tc>
        <w:tc>
          <w:tcPr>
            <w:tcW w:type="dxa" w:w="33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DLP, PP</w:t>
            </w:r>
          </w:p>
        </w:tc>
      </w:tr>
      <w:tr>
        <w:tc>
          <w:tcPr>
            <w:tcW w:type="dxa" w:w="2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device_model</w:t>
            </w:r>
          </w:p>
        </w:tc>
        <w:tc>
          <w:tcPr>
            <w:tcW w:type="dxa" w:w="32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{device_model}</w:t>
            </w:r>
          </w:p>
        </w:tc>
        <w:tc>
          <w:tcPr>
            <w:tcW w:type="dxa" w:w="33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DLP, PP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device_browser</w:t>
            </w:r>
          </w:p>
        </w:tc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{device_browser}</w:t>
            </w:r>
          </w:p>
        </w:tc>
        <w:tc>
          <w:tcPr>
            <w:tcW w:type="dxa" w:w="33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DLP, PP</w:t>
            </w:r>
          </w:p>
        </w:tc>
      </w:tr>
      <w:tr>
        <w:tc>
          <w:tcPr>
            <w:tcW w:type="dxa" w:w="2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geo_country_code</w:t>
            </w:r>
          </w:p>
        </w:tc>
        <w:tc>
          <w:tcPr>
            <w:tcW w:type="dxa" w:w="32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{geo_country_code}</w:t>
            </w:r>
          </w:p>
        </w:tc>
        <w:tc>
          <w:tcPr>
            <w:tcW w:type="dxa" w:w="33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DLP, PP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geo_country_name</w:t>
            </w:r>
          </w:p>
        </w:tc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{geo_country_name}</w:t>
            </w:r>
          </w:p>
        </w:tc>
        <w:tc>
          <w:tcPr>
            <w:tcW w:type="dxa" w:w="33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DLP, PP</w:t>
            </w:r>
          </w:p>
        </w:tc>
      </w:tr>
      <w:tr>
        <w:tc>
          <w:tcPr>
            <w:tcW w:type="dxa" w:w="2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geo_region_code / name</w:t>
            </w:r>
          </w:p>
        </w:tc>
        <w:tc>
          <w:tcPr>
            <w:tcW w:type="dxa" w:w="32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{geo_region_code} / {geo_region_name}</w:t>
            </w:r>
          </w:p>
        </w:tc>
        <w:tc>
          <w:tcPr>
            <w:tcW w:type="dxa" w:w="33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DLP, PP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geo_city_name</w:t>
            </w:r>
          </w:p>
        </w:tc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{geo_city_name}</w:t>
            </w:r>
          </w:p>
        </w:tc>
        <w:tc>
          <w:tcPr>
            <w:tcW w:type="dxa" w:w="33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PP</w:t>
            </w:r>
          </w:p>
        </w:tc>
      </w:tr>
      <w:tr>
        <w:tc>
          <w:tcPr>
            <w:tcW w:type="dxa" w:w="2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session_ip</w:t>
            </w:r>
          </w:p>
        </w:tc>
        <w:tc>
          <w:tcPr>
            <w:tcW w:type="dxa" w:w="32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{session_ip}</w:t>
            </w:r>
          </w:p>
        </w:tc>
        <w:tc>
          <w:tcPr>
            <w:tcW w:type="dxa" w:w="33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DLP, PP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user_agent</w:t>
            </w:r>
          </w:p>
        </w:tc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{user_agent}</w:t>
            </w:r>
          </w:p>
        </w:tc>
        <w:tc>
          <w:tcPr>
            <w:tcW w:type="dxa" w:w="33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DLP, AP, PP</w:t>
            </w:r>
          </w:p>
        </w:tc>
      </w:tr>
      <w:tr>
        <w:tc>
          <w:tcPr>
            <w:tcW w:type="dxa" w:w="2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idfa / idfa_md5 / idfa_sha1</w:t>
            </w:r>
          </w:p>
        </w:tc>
        <w:tc>
          <w:tcPr>
            <w:tcW w:type="dxa" w:w="32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{idfa} / {idfa_md5} / {idfa_sha1}</w:t>
            </w:r>
          </w:p>
        </w:tc>
        <w:tc>
          <w:tcPr>
            <w:tcW w:type="dxa" w:w="33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DLP, PTL, PP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google_aid</w:t>
            </w:r>
          </w:p>
        </w:tc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{google_aid}</w:t>
            </w:r>
          </w:p>
        </w:tc>
        <w:tc>
          <w:tcPr>
            <w:tcW w:type="dxa" w:w="33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DLP, PTL, PP</w:t>
            </w:r>
          </w:p>
        </w:tc>
      </w:tr>
      <w:tr>
        <w:tc>
          <w:tcPr>
            <w:tcW w:type="dxa" w:w="28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gclid</w:t>
            </w:r>
          </w:p>
        </w:tc>
        <w:tc>
          <w:tcPr>
            <w:tcW w:type="dxa" w:w="320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{gclid}</w:t>
            </w:r>
          </w:p>
        </w:tc>
        <w:tc>
          <w:tcPr>
            <w:tcW w:type="dxa" w:w="3360"/>
            <w:shd w:fill="EEF0F8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PTL</w:t>
            </w:r>
          </w:p>
        </w:tc>
      </w:tr>
      <w:tr>
        <w:tc>
          <w:tcPr>
            <w:tcW w:type="dxa" w:w="28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fbclid</w:t>
            </w:r>
          </w:p>
        </w:tc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{fbclid}</w:t>
            </w:r>
          </w:p>
        </w:tc>
        <w:tc>
          <w:tcPr>
            <w:tcW w:type="dxa" w:w="336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PTL</w:t>
            </w:r>
          </w:p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Q: </w:t>
      </w: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What are the most common gotchas?</w:t>
      </w:r>
    </w:p>
    <w:p>
      <w:pPr>
        <w:pStyle w:val="ListParagraph"/>
        <w:numPr>
          <w:ilvl w:val="0"/>
          <w:numId w:val="1"/>
        </w:numPr>
        <w:spacing w:after="60"/>
        <w:ind w:left="520"/>
      </w:pPr>
      <w:r>
        <w:rPr>
          <w:rFonts w:ascii="Calibri" w:cs="Calibri" w:eastAsia="Calibri" w:hAnsi="Calibri"/>
          <w:b w:val="false"/>
          <w:bCs w:val="false"/>
          <w:color w:val="4A4A4A"/>
          <w:sz w:val="22"/>
          <w:szCs w:val="22"/>
        </w:rPr>
        <w:t xml:space="preserve">idfa and google_aid are only captured at the click or view-through level — they are not passed in postback. Use adv fields instead if you need this data on the conversion side.</w:t>
      </w:r>
    </w:p>
    <w:p>
      <w:pPr>
        <w:pStyle w:val="ListParagraph"/>
        <w:numPr>
          <w:ilvl w:val="0"/>
          <w:numId w:val="1"/>
        </w:numPr>
        <w:spacing w:after="60"/>
        <w:ind w:left="520"/>
      </w:pPr>
      <w:r>
        <w:rPr>
          <w:rFonts w:ascii="Calibri" w:cs="Calibri" w:eastAsia="Calibri" w:hAnsi="Calibri"/>
          <w:b w:val="false"/>
          <w:bCs w:val="false"/>
          <w:color w:val="4A4A4A"/>
          <w:sz w:val="22"/>
          <w:szCs w:val="22"/>
        </w:rPr>
        <w:t xml:space="preserve">event_id and adv_event_id: if omitted from a postback, the conversion silently defaults to Base (ID = 0) rather than failing outright. Always double-check these are present if you expect a specific event.</w:t>
      </w:r>
    </w:p>
    <w:p>
      <w:pPr>
        <w:pStyle w:val="ListParagraph"/>
        <w:numPr>
          <w:ilvl w:val="0"/>
          <w:numId w:val="1"/>
        </w:numPr>
        <w:spacing w:after="60"/>
        <w:ind w:left="520"/>
      </w:pPr>
      <w:r>
        <w:rPr>
          <w:rFonts w:ascii="Calibri" w:cs="Calibri" w:eastAsia="Calibri" w:hAnsi="Calibri"/>
          <w:b w:val="false"/>
          <w:bCs w:val="false"/>
          <w:color w:val="4A4A4A"/>
          <w:sz w:val="22"/>
          <w:szCs w:val="22"/>
        </w:rPr>
        <w:t xml:space="preserve">amount is Advertiser Postback only; sale_amount is the Partner Postback equivalent for the sale/revenue figure.</w:t>
      </w:r>
    </w:p>
    <w:p>
      <w:pPr>
        <w:pStyle w:val="ListParagraph"/>
        <w:numPr>
          <w:ilvl w:val="0"/>
          <w:numId w:val="1"/>
        </w:numPr>
        <w:spacing w:after="60"/>
        <w:ind w:left="520"/>
      </w:pPr>
      <w:r>
        <w:rPr>
          <w:rFonts w:ascii="Calibri" w:cs="Calibri" w:eastAsia="Calibri" w:hAnsi="Calibri"/>
          <w:b w:val="false"/>
          <w:bCs w:val="false"/>
          <w:color w:val="4A4A4A"/>
          <w:sz w:val="22"/>
          <w:szCs w:val="22"/>
        </w:rPr>
        <w:t xml:space="preserve">Custom params beyond adv10 work only with Custom Revenue &amp; Payout rules — never as postback macros.</w:t>
      </w:r>
    </w:p>
    <w:p>
      <w:pPr>
        <w:spacing w:after="100"/>
      </w:pPr>
    </w:p>
    <w:p>
      <w:pPr>
        <w:spacing w:after="100"/>
      </w:pPr>
      <w:r>
        <w:rPr>
          <w:rFonts w:ascii="Calibri" w:cs="Calibri" w:eastAsia="Calibri" w:hAnsi="Calibri"/>
          <w:color w:val="4A4A4A"/>
          <w:sz w:val="20"/>
          <w:szCs w:val="20"/>
        </w:rPr>
        <w:t xml:space="preserve">Full parameter table, video walkthrough, and most-current updates: </w:t>
      </w:r>
      <w:r>
        <w:rPr>
          <w:rFonts w:ascii="Calibri" w:cs="Calibri" w:eastAsia="Calibri" w:hAnsi="Calibri"/>
          <w:color w:val="2D2DB8"/>
          <w:sz w:val="20"/>
          <w:szCs w:val="20"/>
        </w:rPr>
        <w:t xml:space="preserve">helpdesk.everflow.io/customer/your-guide-to-parameters-macros</w:t>
      </w:r>
    </w:p>
    <w:p>
      <w:pPr>
        <w:pBdr>
          <w:bottom w:val="single" w:color="E2E2E2" w:sz="6" w:space="6"/>
        </w:pBdr>
        <w:spacing w:after="200" w:before="420"/>
      </w:pPr>
      <w:r>
        <w:rPr>
          <w:rFonts w:ascii="Calibri" w:cs="Calibri" w:eastAsia="Calibri" w:hAnsi="Calibri"/>
          <w:b/>
          <w:bCs/>
          <w:color w:val="2D2DB8"/>
          <w:sz w:val="36"/>
          <w:szCs w:val="36"/>
        </w:rPr>
        <w:t xml:space="preserve">3. Offer Naming Convention</w:t>
      </w: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Q: </w:t>
      </w:r>
      <w:r>
        <w:rPr>
          <w:rFonts w:ascii="Calibri" w:cs="Calibri" w:eastAsia="Calibri" w:hAnsi="Calibri"/>
          <w:b/>
          <w:bCs/>
          <w:color w:val="0D1137"/>
          <w:sz w:val="26"/>
          <w:szCs w:val="26"/>
        </w:rPr>
        <w:t xml:space="preserve">How do I know if an offer is CPA or Revshare?</w:t>
      </w:r>
    </w:p>
    <w:p>
      <w:pPr>
        <w:spacing w:after="160"/>
        <w:ind w:left="2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Offers with “Revshare” in the name are paid on a revenue share model. All other offers are CPA offers, where the payout is based on the email submit event.</w:t>
      </w:r>
    </w:p>
    <w:p>
      <w:pPr>
        <w:spacing w:after="200"/>
      </w:pPr>
    </w:p>
    <w:p>
      <w:pPr>
        <w:pBdr>
          <w:top w:val="single" w:color="E2E2E2" w:sz="6" w:space="8"/>
        </w:pBdr>
        <w:spacing w:before="200"/>
      </w:pPr>
      <w:r>
        <w:rPr>
          <w:rFonts w:ascii="Calibri" w:cs="Calibri" w:eastAsia="Calibri" w:hAnsi="Calibri"/>
          <w:i/>
          <w:iCs/>
          <w:color w:val="6E6E6E"/>
          <w:sz w:val="19"/>
          <w:szCs w:val="19"/>
        </w:rPr>
        <w:t xml:space="preserve">Questions about anything in this guide? Reach out to your Fluent account manager.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E6E6E"/>
        <w:sz w:val="16"/>
        <w:szCs w:val="16"/>
      </w:rPr>
      <w:t xml:space="preserve">fluentco.com  |  </w:t>
    </w:r>
    <w:r>
      <w:rPr>
        <w:rFonts w:ascii="Calibri" w:cs="Calibri" w:eastAsia="Calibri" w:hAnsi="Calibri"/>
        <w:color w:val="6E6E6E"/>
        <w:sz w:val="16"/>
        <w:szCs w:val="16"/>
      </w:rPr>
      <w:t xml:space="preserve">Page </w:t>
    </w:r>
    <w:r>
      <w:rPr>
        <w:rFonts w:ascii="Calibri" w:cs="Calibri" w:eastAsia="Calibri" w:hAnsi="Calibri"/>
        <w:color w:val="6E6E6E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E6E6E"/>
        <w:sz w:val="16"/>
        <w:szCs w:val="16"/>
      </w:rPr>
      <w:t xml:space="preserve"> of </w:t>
    </w:r>
    <w:r>
      <w:rPr>
        <w:rFonts w:ascii="Calibri" w:cs="Calibri" w:eastAsia="Calibri" w:hAnsi="Calibri"/>
        <w:color w:val="6E6E6E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b/>
        <w:bCs/>
        <w:color w:val="2D2DB8"/>
        <w:spacing w:val="20"/>
        <w:sz w:val="18"/>
        <w:szCs w:val="18"/>
      </w:rPr>
      <w:t xml:space="preserve">FLUENT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2026-08-05T18:06:39.475Z</dcterms:created>
  <dcterms:modified xsi:type="dcterms:W3CDTF">2026-08-05T18:06:39.496Z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